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32"/>
          <w:szCs w:val="32"/>
        </w:rPr>
        <w:t xml:space="preserve">Designing Screens for Dyslexic and ADHD Users</w:t>
      </w:r>
    </w:p>
    <w:p>
      <w:pPr>
        <w:spacing w:after="260"/>
      </w:pPr>
      <w:r>
        <w:rPr>
          <w:rFonts w:ascii="Arial" w:cs="Arial" w:eastAsia="Arial" w:hAnsi="Arial"/>
          <w:i/>
          <w:iCs/>
          <w:color w:val="444444"/>
          <w:sz w:val="21"/>
          <w:szCs w:val="21"/>
        </w:rPr>
        <w:t xml:space="preserve">An evidence review of reading, attention, and interface design, with practical UI specifications</w:t>
      </w:r>
    </w:p>
    <w:p>
      <w:pPr>
        <w:pStyle w:val="Heading1"/>
        <w:spacing w:after="120" w:before="230"/>
      </w:pPr>
      <w:r>
        <w:rPr>
          <w:rFonts w:ascii="Arial" w:cs="Arial" w:eastAsia="Arial" w:hAnsi="Arial"/>
          <w:b/>
          <w:bCs/>
          <w:color w:val="1A1A1A"/>
          <w:sz w:val="26"/>
          <w:szCs w:val="26"/>
        </w:rPr>
        <w:t xml:space="preserve">1. Why this matters</w:t>
      </w:r>
    </w:p>
    <w:p>
      <w:pPr>
        <w:spacing w:after="116" w:line="280"/>
        <w:jc w:val="left"/>
      </w:pPr>
      <w:r>
        <w:rPr>
          <w:rFonts w:ascii="Arial" w:cs="Arial" w:eastAsia="Arial" w:hAnsi="Arial"/>
          <w:sz w:val="21"/>
          <w:szCs w:val="21"/>
        </w:rPr>
        <w:t xml:space="preserve">Dyslexia and ADHD are the two most common forms of neurodivergence a website will encounter, and neither is rare enough to treat as an edge case. The Yale Center for Dyslexia and Creativity puts dyslexia at roughly 20 percent of the population, accounting for 80 to 90 percent of all identified learning disabilities. The CDC estimated in 2024 that 6.0 percent of American adults - about 15.5 million people - hold a current ADHD diagnosis, and that more than half of them were not diagnosed until adulthood. Taken together, a mainstream consumer site can reasonably expect that one visitor in four processes text or sustains attention differently from the designer who built it.</w:t>
      </w:r>
    </w:p>
    <w:p>
      <w:pPr>
        <w:spacing w:after="116" w:line="280"/>
        <w:jc w:val="left"/>
      </w:pPr>
      <w:r>
        <w:rPr>
          <w:rFonts w:ascii="Arial" w:cs="Arial" w:eastAsia="Arial" w:hAnsi="Arial"/>
          <w:sz w:val="21"/>
          <w:szCs w:val="21"/>
        </w:rPr>
        <w:t xml:space="preserve">The web is not meeting them. WebAIM's 2026 analysis of the top one million home pages found an average of 56.1 detectable accessibility errors per page, up 10 percent year over year, with 95.9 percent of pages carrying detectable WCAG failures - and an average of 1,437 elements per home page, up 22.5 percent in a single year. Complexity is rising faster than accessibility practice, and complexity is precisely what dyslexic and ADHD users pay for most.</w:t>
      </w:r>
    </w:p>
    <w:p>
      <w:pPr>
        <w:pStyle w:val="Heading1"/>
        <w:spacing w:after="120" w:before="230"/>
      </w:pPr>
      <w:r>
        <w:rPr>
          <w:rFonts w:ascii="Arial" w:cs="Arial" w:eastAsia="Arial" w:hAnsi="Arial"/>
          <w:b/>
          <w:bCs/>
          <w:color w:val="1A1A1A"/>
          <w:sz w:val="26"/>
          <w:szCs w:val="26"/>
        </w:rPr>
        <w:t xml:space="preserve">2. Two different bottlenecks</w:t>
      </w:r>
    </w:p>
    <w:p>
      <w:pPr>
        <w:spacing w:after="116" w:line="280"/>
        <w:jc w:val="left"/>
      </w:pPr>
      <w:r>
        <w:rPr>
          <w:rFonts w:ascii="Arial" w:cs="Arial" w:eastAsia="Arial" w:hAnsi="Arial"/>
          <w:sz w:val="21"/>
          <w:szCs w:val="21"/>
        </w:rPr>
        <w:t xml:space="preserve">It is tempting to merge these two groups into a single "neurodivergent user," but they fail on different things, and conflating them produces vague design advice.</w:t>
      </w:r>
    </w:p>
    <w:p>
      <w:pPr>
        <w:spacing w:after="116" w:line="280"/>
        <w:jc w:val="left"/>
      </w:pPr>
      <w:r>
        <w:rPr>
          <w:rFonts w:ascii="Arial" w:cs="Arial" w:eastAsia="Arial" w:hAnsi="Arial"/>
          <w:b/>
          <w:bCs/>
          <w:sz w:val="21"/>
          <w:szCs w:val="21"/>
        </w:rPr>
        <w:t xml:space="preserve">Dyslexia is a decoding bottleneck. </w:t>
      </w:r>
      <w:r>
        <w:rPr>
          <w:rFonts w:ascii="Arial" w:cs="Arial" w:eastAsia="Arial" w:hAnsi="Arial"/>
          <w:sz w:val="21"/>
          <w:szCs w:val="21"/>
        </w:rPr>
        <w:t xml:space="preserve">It is a language-based difference in accurate and fluent word recognition, not a visual disorder and not a matter of intelligence. The cost is paid per word. Reading is slower and more effortful, so anything that increases the number of words a user must process before reaching their goal - dense prose, jargon, redundant navigation labels, instructions buried in paragraphs - taxes them directly. Eye-tracking work by Rello and Baeza-Yates confirms the mechanism: dyslexic readers show significantly longer eye fixation durations than controls across every text condition tested.</w:t>
      </w:r>
    </w:p>
    <w:p>
      <w:pPr>
        <w:spacing w:after="116" w:line="280"/>
        <w:jc w:val="left"/>
      </w:pPr>
      <w:r>
        <w:rPr>
          <w:rFonts w:ascii="Arial" w:cs="Arial" w:eastAsia="Arial" w:hAnsi="Arial"/>
          <w:b/>
          <w:bCs/>
          <w:sz w:val="21"/>
          <w:szCs w:val="21"/>
        </w:rPr>
        <w:t xml:space="preserve">ADHD is an attention and executive-function bottleneck. </w:t>
      </w:r>
      <w:r>
        <w:rPr>
          <w:rFonts w:ascii="Arial" w:cs="Arial" w:eastAsia="Arial" w:hAnsi="Arial"/>
          <w:sz w:val="21"/>
          <w:szCs w:val="21"/>
        </w:rPr>
        <w:t xml:space="preserve">Decoding is typically intact; what is fragile is sustaining focus across a task, filtering competing stimuli, holding intermediate information in working memory, and estimating whether a task is worth starting. The cost is paid per interruption and per step. A long form is not hard to read - it is hard to finish. W3C's cognitive accessibility task force describes the characteristic failure precisely: a user gets distracted mid-task and, on returning to the screen, cannot tell where they were or what they were doing.</w:t>
      </w:r>
    </w:p>
    <w:p>
      <w:pPr>
        <w:spacing w:after="116" w:line="280"/>
        <w:jc w:val="left"/>
      </w:pPr>
      <w:r>
        <w:rPr>
          <w:rFonts w:ascii="Arial" w:cs="Arial" w:eastAsia="Arial" w:hAnsi="Arial"/>
          <w:sz w:val="21"/>
          <w:szCs w:val="21"/>
        </w:rPr>
        <w:t xml:space="preserve">The two conditions co-occur frequently, and the design responses overlap heavily but not perfectly. Chunking content into short labelled sections serves both. Increasing letter spacing serves dyslexia and does nothing for ADHD. Removing an autoplay video serves ADHD and does little for decoding. The practical synthesis: reduce the words needed to act (dyslexia) and reduce the decisions and interruptions needed to finish (ADHD).</w:t>
      </w:r>
    </w:p>
    <w:p>
      <w:pPr>
        <w:pStyle w:val="Heading1"/>
        <w:spacing w:after="120" w:before="230"/>
      </w:pPr>
      <w:r>
        <w:rPr>
          <w:rFonts w:ascii="Arial" w:cs="Arial" w:eastAsia="Arial" w:hAnsi="Arial"/>
          <w:b/>
          <w:bCs/>
          <w:color w:val="1A1A1A"/>
          <w:sz w:val="26"/>
          <w:szCs w:val="26"/>
        </w:rPr>
        <w:t xml:space="preserve">3. Type, spacing, and the specialist-font myth</w:t>
      </w:r>
    </w:p>
    <w:p>
      <w:pPr>
        <w:spacing w:after="116" w:line="280"/>
        <w:jc w:val="left"/>
      </w:pPr>
      <w:r>
        <w:rPr>
          <w:rFonts w:ascii="Arial" w:cs="Arial" w:eastAsia="Arial" w:hAnsi="Arial"/>
          <w:sz w:val="21"/>
          <w:szCs w:val="21"/>
        </w:rPr>
        <w:t xml:space="preserve">The most useful finding in this literature is a negative one. Fonts marketed as dyslexia-specific do not work. Kuster and colleagues tested the Dyslexie typeface with 170 diagnosed dyslexic children and found no improvement in reading speed or accuracy over Arial; most children preferred Arial. Wery and Diliberto reached the same conclusion, as did Rello and Baeza-Yates in their own font study. Marinus and colleagues did report a small speed benefit, but it vanished once the comparison font was matched for letter and word spacing. The benefit was never in the glyph shapes. It was in the spacing.</w:t>
      </w:r>
    </w:p>
    <w:p>
      <w:pPr>
        <w:spacing w:after="116" w:line="280"/>
        <w:jc w:val="left"/>
      </w:pPr>
      <w:r>
        <w:rPr>
          <w:rFonts w:ascii="Arial" w:cs="Arial" w:eastAsia="Arial" w:hAnsi="Arial"/>
          <w:sz w:val="21"/>
          <w:szCs w:val="21"/>
        </w:rPr>
        <w:t xml:space="preserve">Spacing, by contrast, has real support. Zorzi and colleagues showed in PNAS that extra-large letter spacing improved both reading accuracy and speed in dyslexic children. Rello and Baeza-Yates' eye-tracking study of 92 participants found that character spacing increased by 7 to 14 percent produced significantly shorter fixations for readers with and without dyslexia, and that font sizes from 18 to 26 points did the same. Notably, line spacing, paragraph spacing, and column width produced no significant objective effect in that study, even though line spacing is one of the most commonly repeated recommendations - a reminder that intuitive advice and measured advice diverge.</w:t>
      </w:r>
    </w:p>
    <w:p>
      <w:pPr>
        <w:spacing w:after="116" w:line="280"/>
        <w:jc w:val="left"/>
      </w:pPr>
      <w:r>
        <w:rPr>
          <w:rFonts w:ascii="Arial" w:cs="Arial" w:eastAsia="Arial" w:hAnsi="Arial"/>
          <w:sz w:val="21"/>
          <w:szCs w:val="21"/>
        </w:rPr>
        <w:t xml:space="preserve">The practical translation is not to install a novelty font. It is to set generous type. The British Dyslexia Association's style guide asks for a standard sans-serif at 16 to 19 pixels, tracking around 35 percent of average letter width, word spacing at least 3.5 times letter spacing, line spacing at 1.5, left alignment without justification, and lines of 60 to 70 characters. It also asks designers to drop italics and underlining, which visually close up the gaps between letters, and to use bold for emphasis instead. WCAG 2.2 encodes the floor of this as Success Criterion 1.4.12: a layout must survive a user setting line height to 1.5, paragraph spacing to 2x, letter spacing to 0.12em, and word spacing to 0.16em without clipping or overlapping anything.</w:t>
      </w:r>
    </w:p>
    <w:p>
      <w:pPr>
        <w:pStyle w:val="Heading1"/>
        <w:spacing w:after="120" w:before="230"/>
      </w:pPr>
      <w:r>
        <w:rPr>
          <w:rFonts w:ascii="Arial" w:cs="Arial" w:eastAsia="Arial" w:hAnsi="Arial"/>
          <w:b/>
          <w:bCs/>
          <w:color w:val="1A1A1A"/>
          <w:sz w:val="26"/>
          <w:szCs w:val="26"/>
        </w:rPr>
        <w:t xml:space="preserve">4. Colour and contrast: an honestly unsettled question</w:t>
      </w:r>
    </w:p>
    <w:p>
      <w:pPr>
        <w:spacing w:after="116" w:line="280"/>
        <w:jc w:val="left"/>
      </w:pPr>
      <w:r>
        <w:rPr>
          <w:rFonts w:ascii="Arial" w:cs="Arial" w:eastAsia="Arial" w:hAnsi="Arial"/>
          <w:sz w:val="21"/>
          <w:szCs w:val="21"/>
        </w:rPr>
        <w:t xml:space="preserve">This is where practitioner guidance and experimental data disagree, and it is worth stating plainly rather than papering over. The BDA advises against pure white backgrounds on the grounds that high brightness can cause words to blur or swim, recommending cream or a soft pastel instead, and warns against red and green pairings because of colour vision deficiency. Rello and Baeza-Yates' eye-tracking data did not support this: participants with and without dyslexia significantly preferred pure black text over greyscale text, and the fastest-read pairing was black on cream while the most preferred pairing, black on yellow, was among the slowest. In a separate study of 341 readers, Rello and Bigham found warm backgrounds - peach, orange, yellow - significantly outperformed cool ones such as blue, blue-grey, and green.</w:t>
      </w:r>
    </w:p>
    <w:p>
      <w:pPr>
        <w:spacing w:after="116" w:line="280"/>
        <w:jc w:val="left"/>
      </w:pPr>
      <w:r>
        <w:rPr>
          <w:rFonts w:ascii="Arial" w:cs="Arial" w:eastAsia="Arial" w:hAnsi="Arial"/>
          <w:sz w:val="21"/>
          <w:szCs w:val="21"/>
        </w:rPr>
        <w:t xml:space="preserve">Two conclusions follow. First, warm, slightly-off-white backgrounds are a defensible default: they are supported by at least one large study and disliked by nobody. Second, and more importantly, preference is a poor proxy for performance. In the eye-tracking study only about half of participants correctly identified which settings actually made them read faster. Designers should therefore neither trust a single research-backed palette nor trust user self-report - they should ship a theme control and let people choose, which is what both the BDA and W3C ultimately recommend.</w:t>
      </w:r>
    </w:p>
    <w:p>
      <w:pPr>
        <w:pStyle w:val="Heading1"/>
        <w:spacing w:after="120" w:before="230"/>
      </w:pPr>
      <w:r>
        <w:rPr>
          <w:rFonts w:ascii="Arial" w:cs="Arial" w:eastAsia="Arial" w:hAnsi="Arial"/>
          <w:b/>
          <w:bCs/>
          <w:color w:val="1A1A1A"/>
          <w:sz w:val="26"/>
          <w:szCs w:val="26"/>
        </w:rPr>
        <w:t xml:space="preserve">5. Layout, navigation, and where controls belong</w:t>
      </w:r>
    </w:p>
    <w:p>
      <w:pPr>
        <w:spacing w:after="116" w:line="280"/>
        <w:jc w:val="left"/>
      </w:pPr>
      <w:r>
        <w:rPr>
          <w:rFonts w:ascii="Arial" w:cs="Arial" w:eastAsia="Arial" w:hAnsi="Arial"/>
          <w:sz w:val="21"/>
          <w:szCs w:val="21"/>
        </w:rPr>
        <w:t xml:space="preserve">Both groups rely on convention rather than exploration. W3C's design guide is unusually specific about placement, and its reasoning is that users who struggle to learn new interface metaphors succeed by reusing patterns learned elsewhere: home link at top-left, primary navigation across the top, search at top-right, contact in the top navigation, sitemap in the footer, submit button at the bottom of a form. The novelty of a layout is a cost paid by these users and by nobody else.</w:t>
      </w:r>
    </w:p>
    <w:p>
      <w:pPr>
        <w:spacing w:after="116" w:line="280"/>
        <w:jc w:val="left"/>
      </w:pPr>
      <w:r>
        <w:rPr>
          <w:rFonts w:ascii="Arial" w:cs="Arial" w:eastAsia="Arial" w:hAnsi="Arial"/>
          <w:sz w:val="21"/>
          <w:szCs w:val="21"/>
        </w:rPr>
        <w:t xml:space="preserve">Consistency of position matters as much as the position itself. When menus shift or change labels between pages, users lose the spatial memory they were relying on. W3C also warns against controls that move as a page loads, since a user with slower hand-eye coordination will press whatever has slid into place.</w:t>
      </w:r>
    </w:p>
    <w:p>
      <w:pPr>
        <w:spacing w:after="116" w:line="280"/>
        <w:jc w:val="left"/>
      </w:pPr>
      <w:r>
        <w:rPr>
          <w:rFonts w:ascii="Arial" w:cs="Arial" w:eastAsia="Arial" w:hAnsi="Arial"/>
          <w:sz w:val="21"/>
          <w:szCs w:val="21"/>
        </w:rPr>
        <w:t xml:space="preserve">For primary actions the guidance converges on four rules. Put the most important action above the fold, because content that requires scrolling or hovering to discover is content some users will never find. Give it clear visual weight over adjacent secondary links. Place controls inside or immediately beside the region they affect, separated by whitespace or a border, and avoid nested scrolling areas where it is ambiguous which control governs which content. And make the hit area generous: WCAG 2.2 sets a floor of 24 by 24 CSS pixels at Level AA and 44 by 44 at Level AAA, with Apple recommending 44 points and Material Design 48dp - reasonable targets for anything primary.</w:t>
      </w:r>
    </w:p>
    <w:p>
      <w:pPr>
        <w:spacing w:after="116" w:line="280"/>
        <w:jc w:val="left"/>
      </w:pPr>
      <w:r>
        <w:rPr>
          <w:rFonts w:ascii="Arial" w:cs="Arial" w:eastAsia="Arial" w:hAnsi="Arial"/>
          <w:sz w:val="21"/>
          <w:szCs w:val="21"/>
        </w:rPr>
        <w:t xml:space="preserve">Forms deserve separate treatment because they concentrate every difficulty at once. A single-column layout removes ambiguity about reading order; Baymard's testing found multi-column checkout forms cause users to misinterpret field order. Labels belong above fields and must stay visible, since placeholder-only labels disappear at the moment of typing and force a memory retrieval that ADHD users in particular will fail. Errors should be stated in plain language next to the offending field, and the back button must never destroy entered data. The UK Home Office guidance adds one dyslexia-specific rule that is easy to overlook: do not rely on accurate spelling. Search, autocomplete, and validation should tolerate misspellings and offer suggestions.</w:t>
      </w:r>
    </w:p>
    <w:p>
      <w:pPr>
        <w:pStyle w:val="Heading1"/>
        <w:spacing w:after="120" w:before="230"/>
      </w:pPr>
      <w:r>
        <w:rPr>
          <w:rFonts w:ascii="Arial" w:cs="Arial" w:eastAsia="Arial" w:hAnsi="Arial"/>
          <w:b/>
          <w:bCs/>
          <w:color w:val="1A1A1A"/>
          <w:sz w:val="26"/>
          <w:szCs w:val="26"/>
        </w:rPr>
        <w:t xml:space="preserve">6. Motion, interruption, and getting back on task</w:t>
      </w:r>
    </w:p>
    <w:p>
      <w:pPr>
        <w:spacing w:after="116" w:line="280"/>
        <w:jc w:val="left"/>
      </w:pPr>
      <w:r>
        <w:rPr>
          <w:rFonts w:ascii="Arial" w:cs="Arial" w:eastAsia="Arial" w:hAnsi="Arial"/>
          <w:sz w:val="21"/>
          <w:szCs w:val="21"/>
        </w:rPr>
        <w:t xml:space="preserve">Motion is the sharpest ADHD-specific issue. Involuntary attention capture is not a preference that can be overridden by willpower; an autoplaying video or a rotating carousel will pull focus regardless of what the user came to do. WCAG 2.2.2 requires that anything moving, blinking, scrolling, or auto-updating for more than five seconds offer a mechanism to pause, stop, or hide it. Success Criterion 2.3.3 extends this to interaction-triggered animation such as parallax, and the CSS prefers-reduced-motion media query is the accepted technique for honouring an operating-system-level preference. Cookie walls, chat pop-ups, and newsletter interstitials belong in the same category: W3C lists limiting interruptions as its first pattern under the objective of helping users focus.</w:t>
      </w:r>
    </w:p>
    <w:p>
      <w:pPr>
        <w:spacing w:after="116" w:line="280"/>
        <w:jc w:val="left"/>
      </w:pPr>
      <w:r>
        <w:rPr>
          <w:rFonts w:ascii="Arial" w:cs="Arial" w:eastAsia="Arial" w:hAnsi="Arial"/>
          <w:sz w:val="21"/>
          <w:szCs w:val="21"/>
        </w:rPr>
        <w:t xml:space="preserve">Because distraction will happen anyway, the more valuable design move is making re-entry cheap. Every page needs a heading that states what it is, so a user returning after a lapse can re-orient without re-reading. Multi-step processes need a visible indicator showing completed steps, the current step, and what remains - which serves two purposes at once, restoring context after distraction and letting a user gauge in advance whether they have the capacity to finish. Telling users upfront what they will need, from account numbers to fees, prevents the abandonment that happens when a requirement surfaces halfway through. And processes should not depend on memory: do not ask users to recall a code from a previous screen or a value from an earlier page.</w:t>
      </w:r>
    </w:p>
    <w:p>
      <w:pPr>
        <w:spacing w:after="116" w:line="280"/>
        <w:jc w:val="left"/>
      </w:pPr>
      <w:r>
        <w:rPr>
          <w:rFonts w:ascii="Arial" w:cs="Arial" w:eastAsia="Arial" w:hAnsi="Arial"/>
          <w:sz w:val="21"/>
          <w:szCs w:val="21"/>
        </w:rPr>
        <w:t xml:space="preserve">Empirical work on ADHD-specific web design remains thin, and this should be acknowledged. A recent comparison by Weyerhauser and Piccolo tested an online banking site against an ADHD-informed redesign with 14 participants, half diagnosed with ADHD. The ADHD group struggled more with the original, and both groups benefited from the redesign - promising, but small. Much of the ADHD design literature is well-reasoned practitioner guidance rather than measured outcome, and teams should treat it accordingly.</w:t>
      </w:r>
    </w:p>
    <w:p>
      <w:pPr>
        <w:pStyle w:val="Heading1"/>
        <w:spacing w:after="120" w:before="230"/>
      </w:pPr>
      <w:r>
        <w:rPr>
          <w:rFonts w:ascii="Arial" w:cs="Arial" w:eastAsia="Arial" w:hAnsi="Arial"/>
          <w:b/>
          <w:bCs/>
          <w:color w:val="1A1A1A"/>
          <w:sz w:val="26"/>
          <w:szCs w:val="26"/>
        </w:rPr>
        <w:t xml:space="preserve">7. Personalization and testing</w:t>
      </w:r>
    </w:p>
    <w:p>
      <w:pPr>
        <w:spacing w:after="116" w:line="280"/>
        <w:jc w:val="left"/>
      </w:pPr>
      <w:r>
        <w:rPr>
          <w:rFonts w:ascii="Arial" w:cs="Arial" w:eastAsia="Arial" w:hAnsi="Arial"/>
          <w:sz w:val="21"/>
          <w:szCs w:val="21"/>
        </w:rPr>
        <w:t xml:space="preserve">Given the disagreement in the colour research and the variability within both populations, the single highest-value feature is user control. W3C devotes an entire objective to adaptation and personalization, and the BDA has recommended user-settable fonts, sizes, and colours for two decades. A practical implementation offers a small preferences panel - background tint, text size, line spacing, and a reduce-motion toggle - that persists across sessions, plus a reading mode that strips a page to its content. No single configuration serves everyone, and shipping a control is more honest than guessing.</w:t>
      </w:r>
    </w:p>
    <w:p>
      <w:pPr>
        <w:spacing w:after="116" w:line="280"/>
        <w:jc w:val="left"/>
      </w:pPr>
      <w:r>
        <w:rPr>
          <w:rFonts w:ascii="Arial" w:cs="Arial" w:eastAsia="Arial" w:hAnsi="Arial"/>
          <w:sz w:val="21"/>
          <w:szCs w:val="21"/>
        </w:rPr>
        <w:t xml:space="preserve">Finally, test with the actual population, and measure behaviour rather than collecting opinions. The finding that only half of participants could correctly identify the settings that improved their own reading speed is the most operationally important result in this review. Task completion, time on task, error rates, and abandonment points will tell a design team what a satisfaction survey will not.</w:t>
      </w:r>
    </w:p>
    <w:p>
      <w:pPr>
        <w:pStyle w:val="Heading1"/>
        <w:spacing w:after="120" w:before="230"/>
      </w:pPr>
      <w:r>
        <w:rPr>
          <w:rFonts w:ascii="Arial" w:cs="Arial" w:eastAsia="Arial" w:hAnsi="Arial"/>
          <w:b/>
          <w:bCs/>
          <w:color w:val="1A1A1A"/>
          <w:sz w:val="26"/>
          <w:szCs w:val="26"/>
        </w:rPr>
        <w:t xml:space="preserve">8. Quick-reference specification</w:t>
      </w:r>
    </w:p>
    <w:tbl>
      <w:tblPr>
        <w:tblW w:type="dxa" w:w="9000"/>
        <w:tblBorders>
          <w:top w:val="single" w:color="AAAAAA" w:sz="4"/>
          <w:left w:val="single" w:color="AAAAAA" w:sz="4"/>
          <w:bottom w:val="single" w:color="AAAAAA" w:sz="4"/>
          <w:right w:val="single" w:color="AAAAAA" w:sz="4"/>
          <w:insideH w:val="single" w:color="CCCCCC" w:sz="2"/>
          <w:insideV w:val="single" w:color="CCCCCC" w:sz="2"/>
        </w:tblBorders>
      </w:tblPr>
      <w:tblGrid>
        <w:gridCol w:w="2450"/>
        <w:gridCol w:w="6550"/>
      </w:tblGrid>
      <w:tr>
        <w:tc>
          <w:tcPr>
            <w:tcW w:type="dxa" w:w="2450"/>
            <w:shd w:fill="EFEFEF" w:color="auto" w:val="clear"/>
            <w:tcMar>
              <w:top w:type="dxa" w:w="70"/>
              <w:left w:type="dxa" w:w="110"/>
              <w:bottom w:type="dxa" w:w="70"/>
              <w:right w:type="dxa" w:w="110"/>
            </w:tcMar>
          </w:tcPr>
          <w:p>
            <w:pPr>
              <w:spacing w:after="0" w:line="240"/>
            </w:pPr>
            <w:r>
              <w:rPr>
                <w:rFonts w:ascii="Arial" w:cs="Arial" w:eastAsia="Arial" w:hAnsi="Arial"/>
                <w:b/>
                <w:bCs/>
                <w:sz w:val="19"/>
                <w:szCs w:val="19"/>
              </w:rPr>
              <w:t xml:space="preserve">Element</w:t>
            </w:r>
          </w:p>
        </w:tc>
        <w:tc>
          <w:tcPr>
            <w:tcW w:type="dxa" w:w="6550"/>
            <w:shd w:fill="EFEFEF" w:color="auto" w:val="clear"/>
            <w:tcMar>
              <w:top w:type="dxa" w:w="70"/>
              <w:left w:type="dxa" w:w="110"/>
              <w:bottom w:type="dxa" w:w="70"/>
              <w:right w:type="dxa" w:w="110"/>
            </w:tcMar>
          </w:tcPr>
          <w:p>
            <w:pPr>
              <w:spacing w:after="0" w:line="240"/>
            </w:pPr>
            <w:r>
              <w:rPr>
                <w:rFonts w:ascii="Arial" w:cs="Arial" w:eastAsia="Arial" w:hAnsi="Arial"/>
                <w:b/>
                <w:bCs/>
                <w:sz w:val="19"/>
                <w:szCs w:val="19"/>
              </w:rPr>
              <w:t xml:space="preserve">Recommended specification</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Typeface</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Any standard sans-serif with distinct letterforms (Arial, Verdana, Tahoma, Open Sans, Helvetica). No specialist dyslexia font required.</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Body size</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16-19px minimum (BDA); larger is measurably better. Never below 16px on mobile.</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Line height</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At least 1.5x the font size; layout must survive user overrides (WCAG 1.4.12).</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Letter / word spacing</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Tolerate 0.12em letter and 0.16em word spacing without clipping. Slightly loose default tracking is beneficial.</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Line length</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60-70 characters. Left-aligned, ragged right, never justified.</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Paragraphs</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Under ~50 words; one idea each; front-load the point. Bulleted lists over prose for sequences.</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Emphasis</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Bold only. No italics, no underlining of non-links, no ALL CAPS in running text.</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Background</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Single flat colour, off-white or soft tint. No patterns, no photos behind text.</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Colour pairs</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Avoid red/green pairings. Avoid pure-black-on-pure-white as the only option; offer alternatives.</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Links</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Underlined and colour-distinct from body text. Buttons look like buttons.</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Target size</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24x24 CSS px minimum (WCAG 2.5.8 AA); 44x44 for primary actions (2.5.5 AAA).</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Primary CTA</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Above the fold, visually heavier than everything near it, in the same position on every page.</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Navigation</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Logo/home top-left, primary nav top, search top-right, sitemap in footer. Never move between pages.</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Forms</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Single column. Labels above fields and always visible. Helper text below the field. Errors named in plain language next to the field.</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Progress</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Visible step indicator on any flow longer than one screen: steps done, current step, steps remaining.</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Motion</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No autoplay. Anything moving past 5 seconds gets pause/stop/hide (WCAG 2.2.2). Honour prefers-reduced-motion.</w:t>
            </w:r>
          </w:p>
        </w:tc>
      </w:tr>
      <w:tr>
        <w:tc>
          <w:tcPr>
            <w:tcW w:type="dxa" w:w="24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Timeouts</w:t>
            </w:r>
          </w:p>
        </w:tc>
        <w:tc>
          <w:tcPr>
            <w:tcW w:type="dxa" w:w="6550"/>
            <w:tcMar>
              <w:top w:type="dxa" w:w="70"/>
              <w:left w:type="dxa" w:w="110"/>
              <w:bottom w:type="dxa" w:w="70"/>
              <w:right w:type="dxa" w:w="110"/>
            </w:tcMar>
          </w:tcPr>
          <w:p>
            <w:pPr>
              <w:spacing w:after="0" w:line="240"/>
            </w:pPr>
            <w:r>
              <w:rPr>
                <w:rFonts w:ascii="Arial" w:cs="Arial" w:eastAsia="Arial" w:hAnsi="Arial"/>
                <w:b w:val="false"/>
                <w:bCs w:val="false"/>
                <w:sz w:val="19"/>
                <w:szCs w:val="19"/>
              </w:rPr>
              <w:t xml:space="preserve">Avoid. Where unavoidable, warn, allow extension, and never discard entered data.</w:t>
            </w:r>
          </w:p>
        </w:tc>
      </w:tr>
    </w:tbl>
    <w:p>
      <w:pPr>
        <w:spacing w:after="200"/>
      </w:pPr>
    </w:p>
    <w:p>
      <w:pPr>
        <w:pStyle w:val="Heading1"/>
        <w:spacing w:after="120" w:before="230"/>
      </w:pPr>
      <w:r>
        <w:rPr>
          <w:rFonts w:ascii="Arial" w:cs="Arial" w:eastAsia="Arial" w:hAnsi="Arial"/>
          <w:b/>
          <w:bCs/>
          <w:color w:val="1A1A1A"/>
          <w:sz w:val="26"/>
          <w:szCs w:val="26"/>
        </w:rPr>
        <w:t xml:space="preserve">References</w:t>
      </w:r>
    </w:p>
    <w:p>
      <w:pPr>
        <w:spacing w:after="100" w:line="240"/>
        <w:ind w:left="431" w:hanging="431"/>
      </w:pPr>
      <w:r>
        <w:rPr>
          <w:rFonts w:ascii="Arial" w:cs="Arial" w:eastAsia="Arial" w:hAnsi="Arial"/>
          <w:sz w:val="19"/>
          <w:szCs w:val="19"/>
        </w:rPr>
        <w:t xml:space="preserve">British Dyslexia Association. (2023). Dyslexia Style Guide. bdadyslexia.org.uk</w:t>
      </w:r>
    </w:p>
    <w:p>
      <w:pPr>
        <w:spacing w:after="100" w:line="240"/>
        <w:ind w:left="431" w:hanging="431"/>
      </w:pPr>
      <w:r>
        <w:rPr>
          <w:rFonts w:ascii="Arial" w:cs="Arial" w:eastAsia="Arial" w:hAnsi="Arial"/>
          <w:sz w:val="19"/>
          <w:szCs w:val="19"/>
        </w:rPr>
        <w:t xml:space="preserve">Baymard Institute. Form and checkout usability research on single-column layouts and field labelling. baymard.com</w:t>
      </w:r>
    </w:p>
    <w:p>
      <w:pPr>
        <w:spacing w:after="100" w:line="240"/>
        <w:ind w:left="431" w:hanging="431"/>
      </w:pPr>
      <w:r>
        <w:rPr>
          <w:rFonts w:ascii="Arial" w:cs="Arial" w:eastAsia="Arial" w:hAnsi="Arial"/>
          <w:sz w:val="19"/>
          <w:szCs w:val="19"/>
        </w:rPr>
        <w:t xml:space="preserve">Centers for Disease Control and Prevention. (2024). Attention-Deficit/Hyperactivity Disorder Diagnosis, Treatment, and Telehealth Use in Adults. MMWR, 73(40), 890-895.</w:t>
      </w:r>
    </w:p>
    <w:p>
      <w:pPr>
        <w:spacing w:after="100" w:line="240"/>
        <w:ind w:left="431" w:hanging="431"/>
      </w:pPr>
      <w:r>
        <w:rPr>
          <w:rFonts w:ascii="Arial" w:cs="Arial" w:eastAsia="Arial" w:hAnsi="Arial"/>
          <w:sz w:val="19"/>
          <w:szCs w:val="19"/>
        </w:rPr>
        <w:t xml:space="preserve">Kuster, S. M., van Weerdenburg, M., Gompel, M., &amp; Bosman, A. M. T. (2018). Dyslexie font does not benefit reading in children with or without dyslexia. Annals of Dyslexia, 68(1), 25-42.</w:t>
      </w:r>
    </w:p>
    <w:p>
      <w:pPr>
        <w:spacing w:after="100" w:line="240"/>
        <w:ind w:left="431" w:hanging="431"/>
      </w:pPr>
      <w:r>
        <w:rPr>
          <w:rFonts w:ascii="Arial" w:cs="Arial" w:eastAsia="Arial" w:hAnsi="Arial"/>
          <w:sz w:val="19"/>
          <w:szCs w:val="19"/>
        </w:rPr>
        <w:t xml:space="preserve">Marinus, E., et al. (2016). A special font for people with dyslexia: does it work and if so, why? Dyslexia, 22(3).</w:t>
      </w:r>
    </w:p>
    <w:p>
      <w:pPr>
        <w:spacing w:after="100" w:line="240"/>
        <w:ind w:left="431" w:hanging="431"/>
      </w:pPr>
      <w:r>
        <w:rPr>
          <w:rFonts w:ascii="Arial" w:cs="Arial" w:eastAsia="Arial" w:hAnsi="Arial"/>
          <w:sz w:val="19"/>
          <w:szCs w:val="19"/>
        </w:rPr>
        <w:t xml:space="preserve">Rello, L., &amp; Baeza-Yates, R. (2017). How to present more readable text for people with dyslexia. Universal Access in the Information Society, 16, 29-49.</w:t>
      </w:r>
    </w:p>
    <w:p>
      <w:pPr>
        <w:spacing w:after="100" w:line="240"/>
        <w:ind w:left="431" w:hanging="431"/>
      </w:pPr>
      <w:r>
        <w:rPr>
          <w:rFonts w:ascii="Arial" w:cs="Arial" w:eastAsia="Arial" w:hAnsi="Arial"/>
          <w:sz w:val="19"/>
          <w:szCs w:val="19"/>
        </w:rPr>
        <w:t xml:space="preserve">Rello, L., &amp; Baeza-Yates, R. (2013). Good fonts for dyslexia. Proceedings of ASSETS '13.</w:t>
      </w:r>
    </w:p>
    <w:p>
      <w:pPr>
        <w:spacing w:after="100" w:line="240"/>
        <w:ind w:left="431" w:hanging="431"/>
      </w:pPr>
      <w:r>
        <w:rPr>
          <w:rFonts w:ascii="Arial" w:cs="Arial" w:eastAsia="Arial" w:hAnsi="Arial"/>
          <w:sz w:val="19"/>
          <w:szCs w:val="19"/>
        </w:rPr>
        <w:t xml:space="preserve">Rello, L., &amp; Bigham, J. P. (2017). Good Background Colors for Readers: A Study of People with and without Dyslexia. Proceedings of ASSETS '17, 72-80.</w:t>
      </w:r>
    </w:p>
    <w:p>
      <w:pPr>
        <w:spacing w:after="100" w:line="240"/>
        <w:ind w:left="431" w:hanging="431"/>
      </w:pPr>
      <w:r>
        <w:rPr>
          <w:rFonts w:ascii="Arial" w:cs="Arial" w:eastAsia="Arial" w:hAnsi="Arial"/>
          <w:sz w:val="19"/>
          <w:szCs w:val="19"/>
        </w:rPr>
        <w:t xml:space="preserve">UK Home Office Digital. Dos and don'ts on designing for accessibility (poster series). ukhomeoffice.github.io/accessibility-posters</w:t>
      </w:r>
    </w:p>
    <w:p>
      <w:pPr>
        <w:spacing w:after="100" w:line="240"/>
        <w:ind w:left="431" w:hanging="431"/>
      </w:pPr>
      <w:r>
        <w:rPr>
          <w:rFonts w:ascii="Arial" w:cs="Arial" w:eastAsia="Arial" w:hAnsi="Arial"/>
          <w:sz w:val="19"/>
          <w:szCs w:val="19"/>
        </w:rPr>
        <w:t xml:space="preserve">W3C. (2021). Making Content Usable for People with Cognitive and Learning Disabilities. W3C Working Group Note, COGA Task Force.</w:t>
      </w:r>
    </w:p>
    <w:p>
      <w:pPr>
        <w:spacing w:after="100" w:line="240"/>
        <w:ind w:left="431" w:hanging="431"/>
      </w:pPr>
      <w:r>
        <w:rPr>
          <w:rFonts w:ascii="Arial" w:cs="Arial" w:eastAsia="Arial" w:hAnsi="Arial"/>
          <w:sz w:val="19"/>
          <w:szCs w:val="19"/>
        </w:rPr>
        <w:t xml:space="preserve">W3C. Web Content Accessibility Guidelines (WCAG) 2.2 - SC 1.4.12 Text Spacing, 2.2.2 Pause Stop Hide, 2.3.3 Animation from Interactions, 2.5.5 and 2.5.8 Target Size.</w:t>
      </w:r>
    </w:p>
    <w:p>
      <w:pPr>
        <w:spacing w:after="100" w:line="240"/>
        <w:ind w:left="431" w:hanging="431"/>
      </w:pPr>
      <w:r>
        <w:rPr>
          <w:rFonts w:ascii="Arial" w:cs="Arial" w:eastAsia="Arial" w:hAnsi="Arial"/>
          <w:sz w:val="19"/>
          <w:szCs w:val="19"/>
        </w:rPr>
        <w:t xml:space="preserve">WebAIM. (2026). The WebAIM Million: annual accessibility analysis of the top 1,000,000 home pages. webaim.org/projects/million</w:t>
      </w:r>
    </w:p>
    <w:p>
      <w:pPr>
        <w:spacing w:after="100" w:line="240"/>
        <w:ind w:left="431" w:hanging="431"/>
      </w:pPr>
      <w:r>
        <w:rPr>
          <w:rFonts w:ascii="Arial" w:cs="Arial" w:eastAsia="Arial" w:hAnsi="Arial"/>
          <w:sz w:val="19"/>
          <w:szCs w:val="19"/>
        </w:rPr>
        <w:t xml:space="preserve">Wery, J. J., &amp; Diliberto, J. A. (2017). The effect of a specialized dyslexia font, OpenDyslexic, on reading rate and accuracy. Annals of Dyslexia, 67(2).</w:t>
      </w:r>
    </w:p>
    <w:p>
      <w:pPr>
        <w:spacing w:after="100" w:line="240"/>
        <w:ind w:left="431" w:hanging="431"/>
      </w:pPr>
      <w:r>
        <w:rPr>
          <w:rFonts w:ascii="Arial" w:cs="Arial" w:eastAsia="Arial" w:hAnsi="Arial"/>
          <w:sz w:val="19"/>
          <w:szCs w:val="19"/>
        </w:rPr>
        <w:t xml:space="preserve">Weyerhauser, L., &amp; Piccolo, L. S. G. (2025). Towards Inclusive Guidelines for Web Design for Adults with ADHD. INTERACT 2025, LNCS 16111, 312-316.</w:t>
      </w:r>
    </w:p>
    <w:p>
      <w:pPr>
        <w:spacing w:after="100" w:line="240"/>
        <w:ind w:left="431" w:hanging="431"/>
      </w:pPr>
      <w:r>
        <w:rPr>
          <w:rFonts w:ascii="Arial" w:cs="Arial" w:eastAsia="Arial" w:hAnsi="Arial"/>
          <w:sz w:val="19"/>
          <w:szCs w:val="19"/>
        </w:rPr>
        <w:t xml:space="preserve">Yale Center for Dyslexia and Creativity. What is Dyslexia? dyslexia.yale.edu</w:t>
      </w:r>
    </w:p>
    <w:p>
      <w:pPr>
        <w:spacing w:after="100" w:line="240"/>
        <w:ind w:left="431" w:hanging="431"/>
      </w:pPr>
      <w:r>
        <w:rPr>
          <w:rFonts w:ascii="Arial" w:cs="Arial" w:eastAsia="Arial" w:hAnsi="Arial"/>
          <w:sz w:val="19"/>
          <w:szCs w:val="19"/>
        </w:rPr>
        <w:t xml:space="preserve">Zorzi, M., et al. (2012). Extra-large letter spacing improves reading in dyslexia. PNAS, 109(28), 11455-11459.</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2026-08-05T22:25:24.272Z</dcterms:created>
  <dcterms:modified xsi:type="dcterms:W3CDTF">2026-08-05T22:25:24.272Z</dcterms:modified>
</cp:coreProperties>
</file>

<file path=docProps/custom.xml><?xml version="1.0" encoding="utf-8"?>
<Properties xmlns="http://schemas.openxmlformats.org/officeDocument/2006/custom-properties" xmlns:vt="http://schemas.openxmlformats.org/officeDocument/2006/docPropsVTypes"/>
</file>